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96C0" w14:textId="5295E3AA" w:rsidR="00381C89" w:rsidRPr="00E14039" w:rsidRDefault="00381C89" w:rsidP="00E14039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39">
        <w:rPr>
          <w:rFonts w:ascii="Times New Roman" w:hAnsi="Times New Roman" w:cs="Times New Roman"/>
          <w:b/>
          <w:sz w:val="24"/>
          <w:szCs w:val="24"/>
        </w:rPr>
        <w:t xml:space="preserve">Inflação no Distrito Federal – </w:t>
      </w:r>
      <w:proofErr w:type="gramStart"/>
      <w:r w:rsidR="00F35CED">
        <w:rPr>
          <w:rFonts w:ascii="Times New Roman" w:hAnsi="Times New Roman" w:cs="Times New Roman"/>
          <w:b/>
          <w:sz w:val="24"/>
          <w:szCs w:val="24"/>
        </w:rPr>
        <w:t>Setembro</w:t>
      </w:r>
      <w:proofErr w:type="gramEnd"/>
      <w:r w:rsidR="00BB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BE">
        <w:rPr>
          <w:rFonts w:ascii="Times New Roman" w:hAnsi="Times New Roman" w:cs="Times New Roman"/>
          <w:b/>
          <w:sz w:val="24"/>
          <w:szCs w:val="24"/>
        </w:rPr>
        <w:t>de 202</w:t>
      </w:r>
      <w:r w:rsidR="00D95300">
        <w:rPr>
          <w:rFonts w:ascii="Times New Roman" w:hAnsi="Times New Roman" w:cs="Times New Roman"/>
          <w:b/>
          <w:sz w:val="24"/>
          <w:szCs w:val="24"/>
        </w:rPr>
        <w:t>3</w:t>
      </w:r>
    </w:p>
    <w:p w14:paraId="32231CC0" w14:textId="77777777" w:rsidR="00381C89" w:rsidRPr="00E14039" w:rsidRDefault="00381C89" w:rsidP="00E14039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41E9" w14:textId="36A7B8CA" w:rsidR="009A29C9" w:rsidRPr="00E14039" w:rsidRDefault="009A29C9" w:rsidP="009A29C9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Distrito Federal registra </w:t>
      </w:r>
      <w:r w:rsidR="00F82887">
        <w:rPr>
          <w:rFonts w:ascii="Times New Roman" w:hAnsi="Times New Roman" w:cs="Times New Roman"/>
          <w:b/>
          <w:sz w:val="24"/>
          <w:szCs w:val="24"/>
        </w:rPr>
        <w:t>inflação de</w:t>
      </w:r>
      <w:r>
        <w:rPr>
          <w:rFonts w:ascii="Times New Roman" w:hAnsi="Times New Roman" w:cs="Times New Roman"/>
          <w:b/>
          <w:sz w:val="24"/>
          <w:szCs w:val="24"/>
        </w:rPr>
        <w:t xml:space="preserve"> 0,</w:t>
      </w:r>
      <w:r w:rsidR="00CA0F4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%, em </w:t>
      </w:r>
      <w:r w:rsidR="00CA0F43">
        <w:rPr>
          <w:rFonts w:ascii="Times New Roman" w:hAnsi="Times New Roman" w:cs="Times New Roman"/>
          <w:b/>
          <w:sz w:val="24"/>
          <w:szCs w:val="24"/>
        </w:rPr>
        <w:t>setembro</w:t>
      </w:r>
    </w:p>
    <w:p w14:paraId="19303966" w14:textId="77777777" w:rsidR="009A29C9" w:rsidRDefault="009A29C9" w:rsidP="009A29C9">
      <w:pPr>
        <w:spacing w:before="120" w:after="120" w:line="288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6780B85" w14:textId="4AD94B5B" w:rsidR="00CC0CBA" w:rsidRDefault="00F40A17" w:rsidP="002829AC">
      <w:pPr>
        <w:spacing w:before="120" w:after="120" w:line="288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06C5">
        <w:rPr>
          <w:rFonts w:ascii="Times New Roman" w:hAnsi="Times New Roman" w:cs="Times New Roman"/>
          <w:sz w:val="24"/>
          <w:szCs w:val="24"/>
        </w:rPr>
        <w:t xml:space="preserve"> inflação no </w:t>
      </w:r>
      <w:r w:rsidR="00CA0F43" w:rsidRPr="00CA0F43">
        <w:rPr>
          <w:rFonts w:ascii="Times New Roman" w:hAnsi="Times New Roman" w:cs="Times New Roman"/>
          <w:sz w:val="24"/>
          <w:szCs w:val="24"/>
        </w:rPr>
        <w:t>Distrito Federal</w:t>
      </w:r>
      <w:r w:rsidR="009306C5">
        <w:rPr>
          <w:rFonts w:ascii="Times New Roman" w:hAnsi="Times New Roman" w:cs="Times New Roman"/>
          <w:sz w:val="24"/>
          <w:szCs w:val="24"/>
        </w:rPr>
        <w:t xml:space="preserve">, medida pelo </w:t>
      </w:r>
      <w:r w:rsidR="009306C5" w:rsidRPr="00CA0F43">
        <w:rPr>
          <w:rFonts w:ascii="Times New Roman" w:hAnsi="Times New Roman" w:cs="Times New Roman"/>
          <w:sz w:val="24"/>
          <w:szCs w:val="24"/>
        </w:rPr>
        <w:t>Índice de Preços ao Consumidor Amplo (IPCA)</w:t>
      </w:r>
      <w:r w:rsidR="009306C5">
        <w:rPr>
          <w:rFonts w:ascii="Times New Roman" w:hAnsi="Times New Roman" w:cs="Times New Roman"/>
          <w:sz w:val="24"/>
          <w:szCs w:val="24"/>
        </w:rPr>
        <w:t xml:space="preserve"> cresceu 0,29%</w:t>
      </w:r>
      <w:r>
        <w:rPr>
          <w:rFonts w:ascii="Times New Roman" w:hAnsi="Times New Roman" w:cs="Times New Roman"/>
          <w:sz w:val="24"/>
          <w:szCs w:val="24"/>
        </w:rPr>
        <w:t xml:space="preserve"> em setembro,</w:t>
      </w:r>
      <w:r w:rsidR="009306C5">
        <w:rPr>
          <w:rFonts w:ascii="Times New Roman" w:hAnsi="Times New Roman" w:cs="Times New Roman"/>
          <w:sz w:val="24"/>
          <w:szCs w:val="24"/>
        </w:rPr>
        <w:t xml:space="preserve"> o que representa uma </w:t>
      </w:r>
      <w:r>
        <w:rPr>
          <w:rFonts w:ascii="Times New Roman" w:hAnsi="Times New Roman" w:cs="Times New Roman"/>
          <w:sz w:val="24"/>
          <w:szCs w:val="24"/>
        </w:rPr>
        <w:t>desaceleração</w:t>
      </w:r>
      <w:r w:rsidR="009306C5">
        <w:rPr>
          <w:rFonts w:ascii="Times New Roman" w:hAnsi="Times New Roman" w:cs="Times New Roman"/>
          <w:sz w:val="24"/>
          <w:szCs w:val="24"/>
        </w:rPr>
        <w:t xml:space="preserve"> </w:t>
      </w:r>
      <w:r w:rsidR="00536D9C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9306C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relação a agosto, quando registrou 0,68%.</w:t>
      </w:r>
      <w:r w:rsidRPr="00F4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comparação com as 16 capitais analisadas </w:t>
      </w:r>
      <w:r w:rsidRPr="00CA0F43">
        <w:rPr>
          <w:rFonts w:ascii="Times New Roman" w:hAnsi="Times New Roman" w:cs="Times New Roman"/>
          <w:sz w:val="24"/>
          <w:szCs w:val="24"/>
        </w:rPr>
        <w:t>pelo Instituto Brasileiro de Geografia e Estatística (IBGE)</w:t>
      </w:r>
      <w:r>
        <w:rPr>
          <w:rFonts w:ascii="Times New Roman" w:hAnsi="Times New Roman" w:cs="Times New Roman"/>
          <w:sz w:val="24"/>
          <w:szCs w:val="24"/>
        </w:rPr>
        <w:t>, o DF apresentou</w:t>
      </w:r>
      <w:r w:rsidR="00CA0F43" w:rsidRPr="00CA0F43">
        <w:rPr>
          <w:rFonts w:ascii="Times New Roman" w:hAnsi="Times New Roman" w:cs="Times New Roman"/>
          <w:sz w:val="24"/>
          <w:szCs w:val="24"/>
        </w:rPr>
        <w:t xml:space="preserve"> a </w:t>
      </w:r>
      <w:r w:rsidR="00CA0F43">
        <w:rPr>
          <w:rFonts w:ascii="Times New Roman" w:hAnsi="Times New Roman" w:cs="Times New Roman"/>
          <w:sz w:val="24"/>
          <w:szCs w:val="24"/>
        </w:rPr>
        <w:t>sétima</w:t>
      </w:r>
      <w:r w:rsidR="00CA0F43" w:rsidRPr="00CA0F43">
        <w:rPr>
          <w:rFonts w:ascii="Times New Roman" w:hAnsi="Times New Roman" w:cs="Times New Roman"/>
          <w:sz w:val="24"/>
          <w:szCs w:val="24"/>
        </w:rPr>
        <w:t xml:space="preserve"> maior inflação </w:t>
      </w:r>
      <w:r w:rsidR="00536D9C">
        <w:rPr>
          <w:rFonts w:ascii="Times New Roman" w:hAnsi="Times New Roman" w:cs="Times New Roman"/>
          <w:sz w:val="24"/>
          <w:szCs w:val="24"/>
        </w:rPr>
        <w:t>no mês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6FD44" w14:textId="7B74C1AD" w:rsidR="00CA0F43" w:rsidRDefault="00CC0CBA" w:rsidP="00CC0CBA">
      <w:pPr>
        <w:spacing w:before="120" w:after="120" w:line="288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acumulado dos últimos 12 meses, o IPCA registrou 6,13% no DF, superando o </w:t>
      </w:r>
      <w:r w:rsidR="008609E0">
        <w:rPr>
          <w:rFonts w:ascii="Times New Roman" w:hAnsi="Times New Roman" w:cs="Times New Roman"/>
          <w:sz w:val="24"/>
          <w:szCs w:val="24"/>
        </w:rPr>
        <w:t xml:space="preserve">índice </w:t>
      </w:r>
      <w:r>
        <w:rPr>
          <w:rFonts w:ascii="Times New Roman" w:hAnsi="Times New Roman" w:cs="Times New Roman"/>
          <w:sz w:val="24"/>
          <w:szCs w:val="24"/>
        </w:rPr>
        <w:t>nacional de 5,19%.</w:t>
      </w:r>
      <w:r w:rsidRPr="00CC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Ambos </w:t>
      </w:r>
      <w:r w:rsidR="00536D9C">
        <w:rPr>
          <w:rFonts w:ascii="Times New Roman" w:hAnsi="Times New Roman" w:cs="Times New Roman"/>
          <w:sz w:val="24"/>
          <w:szCs w:val="24"/>
        </w:rPr>
        <w:t>excederam</w:t>
      </w:r>
      <w:r>
        <w:rPr>
          <w:rFonts w:ascii="Times New Roman" w:hAnsi="Times New Roman" w:cs="Times New Roman"/>
          <w:sz w:val="24"/>
          <w:szCs w:val="24"/>
        </w:rPr>
        <w:t xml:space="preserve"> o limite superior da meta de inflação estabelecida pelo Banco Central.</w:t>
      </w:r>
      <w:r w:rsidR="008F3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9DCB6" w14:textId="779AF9C8" w:rsidR="007A19A4" w:rsidRDefault="009306C5" w:rsidP="009306C5">
      <w:pPr>
        <w:spacing w:before="120" w:after="120" w:line="288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nove grupos que compõem o IPCA, cinco deles apresentaram aumentos de preços em setembro. O grupo </w:t>
      </w:r>
      <w:r w:rsidRPr="00FB2FD5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ransportes</w:t>
      </w:r>
      <w:r>
        <w:rPr>
          <w:rFonts w:ascii="Times New Roman" w:hAnsi="Times New Roman" w:cs="Times New Roman"/>
          <w:sz w:val="24"/>
          <w:szCs w:val="24"/>
        </w:rPr>
        <w:t xml:space="preserve"> teve o maior aumento, de 1,21%, e contribuiu com 0,28 ponto percentual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>.) para o índice geral. Nesse grupo, a</w:t>
      </w:r>
      <w:r w:rsidR="002932DB">
        <w:rPr>
          <w:rFonts w:ascii="Times New Roman" w:hAnsi="Times New Roman" w:cs="Times New Roman"/>
          <w:sz w:val="24"/>
          <w:szCs w:val="24"/>
        </w:rPr>
        <w:t xml:space="preserve"> inflação foi puxada pelo aumento dos subitens </w:t>
      </w:r>
      <w:r w:rsidR="002932DB" w:rsidRPr="00462F91">
        <w:rPr>
          <w:rFonts w:ascii="Times New Roman" w:hAnsi="Times New Roman" w:cs="Times New Roman"/>
          <w:i/>
          <w:sz w:val="24"/>
          <w:szCs w:val="24"/>
        </w:rPr>
        <w:t>Gasolina</w:t>
      </w:r>
      <w:r w:rsidR="002932DB">
        <w:rPr>
          <w:rFonts w:ascii="Times New Roman" w:hAnsi="Times New Roman" w:cs="Times New Roman"/>
          <w:sz w:val="24"/>
          <w:szCs w:val="24"/>
        </w:rPr>
        <w:t xml:space="preserve"> (1,79%), </w:t>
      </w:r>
      <w:r w:rsidR="002932DB" w:rsidRPr="00462F91">
        <w:rPr>
          <w:rFonts w:ascii="Times New Roman" w:hAnsi="Times New Roman" w:cs="Times New Roman"/>
          <w:i/>
          <w:sz w:val="24"/>
          <w:szCs w:val="24"/>
        </w:rPr>
        <w:t>Passagem aérea</w:t>
      </w:r>
      <w:r w:rsidR="002932DB">
        <w:rPr>
          <w:rFonts w:ascii="Times New Roman" w:hAnsi="Times New Roman" w:cs="Times New Roman"/>
          <w:sz w:val="24"/>
          <w:szCs w:val="24"/>
        </w:rPr>
        <w:t xml:space="preserve"> (5,01%) e </w:t>
      </w:r>
      <w:r w:rsidR="002932DB" w:rsidRPr="00462F91">
        <w:rPr>
          <w:rFonts w:ascii="Times New Roman" w:hAnsi="Times New Roman" w:cs="Times New Roman"/>
          <w:i/>
          <w:sz w:val="24"/>
          <w:szCs w:val="24"/>
        </w:rPr>
        <w:t>Óleo diesel</w:t>
      </w:r>
      <w:r w:rsidR="002932DB">
        <w:rPr>
          <w:rFonts w:ascii="Times New Roman" w:hAnsi="Times New Roman" w:cs="Times New Roman"/>
          <w:sz w:val="24"/>
          <w:szCs w:val="24"/>
        </w:rPr>
        <w:t xml:space="preserve"> (14,77%)</w:t>
      </w:r>
      <w:r w:rsidR="00963970">
        <w:rPr>
          <w:rFonts w:ascii="Times New Roman" w:hAnsi="Times New Roman" w:cs="Times New Roman"/>
          <w:sz w:val="24"/>
          <w:szCs w:val="24"/>
        </w:rPr>
        <w:t xml:space="preserve">. </w:t>
      </w:r>
      <w:r w:rsidR="00F40A17">
        <w:rPr>
          <w:rFonts w:ascii="Times New Roman" w:hAnsi="Times New Roman" w:cs="Times New Roman"/>
          <w:sz w:val="24"/>
          <w:szCs w:val="24"/>
        </w:rPr>
        <w:t>O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utros grupos que tiveram variações positivas </w:t>
      </w:r>
      <w:r w:rsidR="008609E0">
        <w:rPr>
          <w:rFonts w:ascii="Times New Roman" w:hAnsi="Times New Roman" w:cs="Times New Roman"/>
          <w:sz w:val="24"/>
          <w:szCs w:val="24"/>
        </w:rPr>
        <w:t>foram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 </w:t>
      </w:r>
      <w:r w:rsidR="00963970">
        <w:rPr>
          <w:rFonts w:ascii="Times New Roman" w:hAnsi="Times New Roman" w:cs="Times New Roman"/>
          <w:i/>
          <w:sz w:val="24"/>
          <w:szCs w:val="24"/>
        </w:rPr>
        <w:t>Habitação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 (0,</w:t>
      </w:r>
      <w:r w:rsidR="00963970">
        <w:rPr>
          <w:rFonts w:ascii="Times New Roman" w:hAnsi="Times New Roman" w:cs="Times New Roman"/>
          <w:sz w:val="24"/>
          <w:szCs w:val="24"/>
        </w:rPr>
        <w:t>91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%), </w:t>
      </w:r>
      <w:r w:rsidR="00963970" w:rsidRPr="00963970">
        <w:rPr>
          <w:rFonts w:ascii="Times New Roman" w:hAnsi="Times New Roman" w:cs="Times New Roman"/>
          <w:i/>
          <w:sz w:val="24"/>
          <w:szCs w:val="24"/>
        </w:rPr>
        <w:t>Vestuário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 (0,2</w:t>
      </w:r>
      <w:r w:rsidR="00963970">
        <w:rPr>
          <w:rFonts w:ascii="Times New Roman" w:hAnsi="Times New Roman" w:cs="Times New Roman"/>
          <w:sz w:val="24"/>
          <w:szCs w:val="24"/>
        </w:rPr>
        <w:t>1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%), </w:t>
      </w:r>
      <w:r w:rsidR="00963970" w:rsidRPr="00963970">
        <w:rPr>
          <w:rFonts w:ascii="Times New Roman" w:hAnsi="Times New Roman" w:cs="Times New Roman"/>
          <w:i/>
          <w:sz w:val="24"/>
          <w:szCs w:val="24"/>
        </w:rPr>
        <w:t>Despesas pessoais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 (0,</w:t>
      </w:r>
      <w:r w:rsidR="00963970">
        <w:rPr>
          <w:rFonts w:ascii="Times New Roman" w:hAnsi="Times New Roman" w:cs="Times New Roman"/>
          <w:sz w:val="24"/>
          <w:szCs w:val="24"/>
        </w:rPr>
        <w:t>06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%) e </w:t>
      </w:r>
      <w:r w:rsidR="00963970" w:rsidRPr="00963970">
        <w:rPr>
          <w:rFonts w:ascii="Times New Roman" w:hAnsi="Times New Roman" w:cs="Times New Roman"/>
          <w:i/>
          <w:sz w:val="24"/>
          <w:szCs w:val="24"/>
        </w:rPr>
        <w:t>Educação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 (0,</w:t>
      </w:r>
      <w:r w:rsidR="00963970">
        <w:rPr>
          <w:rFonts w:ascii="Times New Roman" w:hAnsi="Times New Roman" w:cs="Times New Roman"/>
          <w:sz w:val="24"/>
          <w:szCs w:val="24"/>
        </w:rPr>
        <w:t>07</w:t>
      </w:r>
      <w:r w:rsidR="00377343" w:rsidRPr="00377343">
        <w:rPr>
          <w:rFonts w:ascii="Times New Roman" w:hAnsi="Times New Roman" w:cs="Times New Roman"/>
          <w:sz w:val="24"/>
          <w:szCs w:val="24"/>
        </w:rPr>
        <w:t xml:space="preserve">%). </w:t>
      </w:r>
      <w:r w:rsidR="00462F91">
        <w:rPr>
          <w:rFonts w:ascii="Times New Roman" w:hAnsi="Times New Roman" w:cs="Times New Roman"/>
          <w:sz w:val="24"/>
          <w:szCs w:val="24"/>
        </w:rPr>
        <w:t xml:space="preserve">Por outro lado, a maior deflação foi registrada no grupo </w:t>
      </w:r>
      <w:r w:rsidR="00462F91" w:rsidRPr="00462F91">
        <w:rPr>
          <w:rFonts w:ascii="Times New Roman" w:hAnsi="Times New Roman" w:cs="Times New Roman"/>
          <w:i/>
          <w:sz w:val="24"/>
          <w:szCs w:val="24"/>
        </w:rPr>
        <w:t>Artigos de residência</w:t>
      </w:r>
      <w:r w:rsidR="00462F91">
        <w:rPr>
          <w:rFonts w:ascii="Times New Roman" w:hAnsi="Times New Roman" w:cs="Times New Roman"/>
          <w:sz w:val="24"/>
          <w:szCs w:val="24"/>
        </w:rPr>
        <w:t xml:space="preserve">, com variação negativa de 0,84%. Em termos de contribuição, a deflação registrada no grupo </w:t>
      </w:r>
      <w:r w:rsidR="00462F91" w:rsidRPr="00462F91">
        <w:rPr>
          <w:rFonts w:ascii="Times New Roman" w:hAnsi="Times New Roman" w:cs="Times New Roman"/>
          <w:i/>
          <w:sz w:val="24"/>
          <w:szCs w:val="24"/>
        </w:rPr>
        <w:t>Alimentação e bebidas</w:t>
      </w:r>
      <w:r w:rsidR="00462F91">
        <w:rPr>
          <w:rFonts w:ascii="Times New Roman" w:hAnsi="Times New Roman" w:cs="Times New Roman"/>
          <w:sz w:val="24"/>
          <w:szCs w:val="24"/>
        </w:rPr>
        <w:t xml:space="preserve"> (-0,53%) retirou 0,09 </w:t>
      </w:r>
      <w:proofErr w:type="spellStart"/>
      <w:r w:rsidR="00462F91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="00462F91">
        <w:rPr>
          <w:rFonts w:ascii="Times New Roman" w:hAnsi="Times New Roman" w:cs="Times New Roman"/>
          <w:sz w:val="24"/>
          <w:szCs w:val="24"/>
        </w:rPr>
        <w:t xml:space="preserve">. do índice geral, puxada pela queda nos preços da </w:t>
      </w:r>
      <w:r w:rsidR="00462F91">
        <w:rPr>
          <w:rFonts w:ascii="Times New Roman" w:hAnsi="Times New Roman" w:cs="Times New Roman"/>
          <w:i/>
          <w:sz w:val="24"/>
          <w:szCs w:val="24"/>
        </w:rPr>
        <w:t>Alimentação fora do domicílio</w:t>
      </w:r>
      <w:r w:rsidR="00462F91">
        <w:rPr>
          <w:rFonts w:ascii="Times New Roman" w:hAnsi="Times New Roman" w:cs="Times New Roman"/>
          <w:sz w:val="24"/>
          <w:szCs w:val="24"/>
        </w:rPr>
        <w:t xml:space="preserve"> (-0,97%).</w:t>
      </w:r>
    </w:p>
    <w:p w14:paraId="274F71DC" w14:textId="0A6BB223" w:rsidR="009A29C9" w:rsidRPr="00412123" w:rsidRDefault="009A29C9" w:rsidP="009A29C9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123">
        <w:rPr>
          <w:rFonts w:ascii="Times New Roman" w:hAnsi="Times New Roman" w:cs="Times New Roman"/>
          <w:b/>
          <w:sz w:val="24"/>
          <w:szCs w:val="24"/>
        </w:rPr>
        <w:t>IPCA por faixa de renda</w:t>
      </w:r>
      <w:r w:rsidR="00F40A17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C4B0E7C" w14:textId="31D2D5B5" w:rsidR="00F40A17" w:rsidRDefault="00F40A17" w:rsidP="003F7FB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desagregarmos o IPCA por faixa de renda, </w:t>
      </w:r>
      <w:r w:rsidR="00536D9C">
        <w:rPr>
          <w:rFonts w:ascii="Times New Roman" w:hAnsi="Times New Roman" w:cs="Times New Roman"/>
          <w:sz w:val="24"/>
          <w:szCs w:val="24"/>
        </w:rPr>
        <w:t>observa-se que a inflação mais elevada foi percebida pelas famílias de alta renda</w:t>
      </w:r>
      <w:r w:rsidR="008609E0">
        <w:rPr>
          <w:rFonts w:ascii="Times New Roman" w:hAnsi="Times New Roman" w:cs="Times New Roman"/>
          <w:sz w:val="24"/>
          <w:szCs w:val="24"/>
        </w:rPr>
        <w:t xml:space="preserve"> e, em seguida, </w:t>
      </w:r>
      <w:bookmarkStart w:id="0" w:name="_GoBack"/>
      <w:bookmarkEnd w:id="0"/>
      <w:r w:rsidR="00536D9C">
        <w:rPr>
          <w:rFonts w:ascii="Times New Roman" w:hAnsi="Times New Roman" w:cs="Times New Roman"/>
          <w:sz w:val="24"/>
          <w:szCs w:val="24"/>
        </w:rPr>
        <w:t>pelas famílias de renda média. Em relação a agosto, esses grupos se defrontaram com aumentos inflacionários de 0,52% e 0,26%, respectivamente.</w:t>
      </w:r>
    </w:p>
    <w:p w14:paraId="61BEB9D5" w14:textId="6EE218A8" w:rsidR="009774C9" w:rsidRPr="00D93D75" w:rsidRDefault="008609E0" w:rsidP="003F7FB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D93D75">
        <w:rPr>
          <w:rFonts w:ascii="Times New Roman" w:hAnsi="Times New Roman" w:cs="Times New Roman"/>
          <w:sz w:val="24"/>
          <w:szCs w:val="24"/>
        </w:rPr>
        <w:t xml:space="preserve"> as famílias de renda baixa, foi registrada uma inflação de 0,08%, </w:t>
      </w:r>
      <w:r w:rsidR="00536D9C">
        <w:rPr>
          <w:rFonts w:ascii="Times New Roman" w:hAnsi="Times New Roman" w:cs="Times New Roman"/>
          <w:sz w:val="24"/>
          <w:szCs w:val="24"/>
        </w:rPr>
        <w:t>influenciada</w:t>
      </w:r>
      <w:r w:rsidR="00D93D75">
        <w:rPr>
          <w:rFonts w:ascii="Times New Roman" w:hAnsi="Times New Roman" w:cs="Times New Roman"/>
          <w:sz w:val="24"/>
          <w:szCs w:val="24"/>
        </w:rPr>
        <w:t xml:space="preserve"> </w:t>
      </w:r>
      <w:r w:rsidR="00536D9C">
        <w:rPr>
          <w:rFonts w:ascii="Times New Roman" w:hAnsi="Times New Roman" w:cs="Times New Roman"/>
          <w:sz w:val="24"/>
          <w:szCs w:val="24"/>
        </w:rPr>
        <w:t xml:space="preserve">por </w:t>
      </w:r>
      <w:r w:rsidR="00D93D75">
        <w:rPr>
          <w:rFonts w:ascii="Times New Roman" w:hAnsi="Times New Roman" w:cs="Times New Roman"/>
          <w:sz w:val="24"/>
          <w:szCs w:val="24"/>
        </w:rPr>
        <w:t xml:space="preserve">contribuições negativas </w:t>
      </w:r>
      <w:r w:rsidR="00536D9C">
        <w:rPr>
          <w:rFonts w:ascii="Times New Roman" w:hAnsi="Times New Roman" w:cs="Times New Roman"/>
          <w:sz w:val="24"/>
          <w:szCs w:val="24"/>
        </w:rPr>
        <w:t xml:space="preserve">dos </w:t>
      </w:r>
      <w:r w:rsidR="00D93D75">
        <w:rPr>
          <w:rFonts w:ascii="Times New Roman" w:hAnsi="Times New Roman" w:cs="Times New Roman"/>
          <w:sz w:val="24"/>
          <w:szCs w:val="24"/>
        </w:rPr>
        <w:t xml:space="preserve">grupos </w:t>
      </w:r>
      <w:r w:rsidR="00D93D75" w:rsidRPr="00D93D75">
        <w:rPr>
          <w:rFonts w:ascii="Times New Roman" w:hAnsi="Times New Roman" w:cs="Times New Roman"/>
          <w:i/>
          <w:sz w:val="24"/>
          <w:szCs w:val="24"/>
        </w:rPr>
        <w:t>Alimentação e bebidas</w:t>
      </w:r>
      <w:r w:rsidR="00D93D75">
        <w:rPr>
          <w:rFonts w:ascii="Times New Roman" w:hAnsi="Times New Roman" w:cs="Times New Roman"/>
          <w:sz w:val="24"/>
          <w:szCs w:val="24"/>
        </w:rPr>
        <w:t xml:space="preserve"> e </w:t>
      </w:r>
      <w:r w:rsidR="00D93D75" w:rsidRPr="00D93D75">
        <w:rPr>
          <w:rFonts w:ascii="Times New Roman" w:hAnsi="Times New Roman" w:cs="Times New Roman"/>
          <w:i/>
          <w:sz w:val="24"/>
          <w:szCs w:val="24"/>
        </w:rPr>
        <w:t>Saúde e cuidados pessoais</w:t>
      </w:r>
      <w:r w:rsidR="00D93D75">
        <w:rPr>
          <w:rFonts w:ascii="Times New Roman" w:hAnsi="Times New Roman" w:cs="Times New Roman"/>
          <w:sz w:val="24"/>
          <w:szCs w:val="24"/>
        </w:rPr>
        <w:t>.</w:t>
      </w:r>
    </w:p>
    <w:p w14:paraId="15B07593" w14:textId="77777777" w:rsidR="009A29C9" w:rsidRPr="00CD0FCE" w:rsidRDefault="009A29C9" w:rsidP="009A29C9">
      <w:pPr>
        <w:spacing w:before="120" w:after="120" w:line="288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Índice Nacional de Preços ao Consumidor (INPC)</w:t>
      </w:r>
    </w:p>
    <w:p w14:paraId="1BDCD644" w14:textId="1E6B1B75" w:rsidR="00A73A1B" w:rsidRPr="00E611A5" w:rsidRDefault="00DD3AFB" w:rsidP="00AE4F97">
      <w:pPr>
        <w:spacing w:before="120" w:after="120" w:line="28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E4F97" w:rsidRPr="00AE4F97">
        <w:rPr>
          <w:rFonts w:ascii="Times New Roman" w:hAnsi="Times New Roman" w:cs="Times New Roman"/>
          <w:spacing w:val="-2"/>
          <w:sz w:val="24"/>
          <w:szCs w:val="24"/>
        </w:rPr>
        <w:t xml:space="preserve"> inflação mensal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E4F97" w:rsidRPr="00AE4F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medida pelo </w:t>
      </w:r>
      <w:r w:rsidRPr="00AE4F97">
        <w:rPr>
          <w:rFonts w:ascii="Times New Roman" w:hAnsi="Times New Roman" w:cs="Times New Roman"/>
          <w:spacing w:val="-2"/>
          <w:sz w:val="24"/>
          <w:szCs w:val="24"/>
        </w:rPr>
        <w:t>Índice Nacional de Preços ao Consumidor (INPC)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E4F97" w:rsidRPr="00AE4F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36D9C">
        <w:rPr>
          <w:rFonts w:ascii="Times New Roman" w:hAnsi="Times New Roman" w:cs="Times New Roman"/>
          <w:spacing w:val="-2"/>
          <w:sz w:val="24"/>
          <w:szCs w:val="24"/>
        </w:rPr>
        <w:t>aumentou</w:t>
      </w:r>
      <w:r w:rsidR="00AE4F97">
        <w:rPr>
          <w:rFonts w:ascii="Times New Roman" w:hAnsi="Times New Roman" w:cs="Times New Roman"/>
          <w:spacing w:val="-2"/>
          <w:sz w:val="24"/>
          <w:szCs w:val="24"/>
        </w:rPr>
        <w:t xml:space="preserve"> 0,</w:t>
      </w:r>
      <w:r w:rsidR="00E03C6A">
        <w:rPr>
          <w:rFonts w:ascii="Times New Roman" w:hAnsi="Times New Roman" w:cs="Times New Roman"/>
          <w:spacing w:val="-2"/>
          <w:sz w:val="24"/>
          <w:szCs w:val="24"/>
        </w:rPr>
        <w:t>22</w:t>
      </w:r>
      <w:r w:rsidR="00AE4F97">
        <w:rPr>
          <w:rFonts w:ascii="Times New Roman" w:hAnsi="Times New Roman" w:cs="Times New Roman"/>
          <w:spacing w:val="-2"/>
          <w:sz w:val="24"/>
          <w:szCs w:val="24"/>
        </w:rPr>
        <w:t>%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36D9C">
        <w:rPr>
          <w:rFonts w:ascii="Times New Roman" w:hAnsi="Times New Roman" w:cs="Times New Roman"/>
          <w:spacing w:val="-2"/>
          <w:sz w:val="24"/>
          <w:szCs w:val="24"/>
        </w:rPr>
        <w:t xml:space="preserve">no DF, superando 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índice </w:t>
      </w:r>
      <w:r w:rsidR="00536D9C">
        <w:rPr>
          <w:rFonts w:ascii="Times New Roman" w:hAnsi="Times New Roman" w:cs="Times New Roman"/>
          <w:spacing w:val="-2"/>
          <w:sz w:val="24"/>
          <w:szCs w:val="24"/>
        </w:rPr>
        <w:t xml:space="preserve">nacional </w:t>
      </w:r>
      <w:r>
        <w:rPr>
          <w:rFonts w:ascii="Times New Roman" w:hAnsi="Times New Roman" w:cs="Times New Roman"/>
          <w:spacing w:val="-2"/>
          <w:sz w:val="24"/>
          <w:szCs w:val="24"/>
        </w:rPr>
        <w:t>de</w:t>
      </w:r>
      <w:r w:rsidR="002D5BF3">
        <w:rPr>
          <w:rFonts w:ascii="Times New Roman" w:hAnsi="Times New Roman" w:cs="Times New Roman"/>
          <w:spacing w:val="-2"/>
          <w:sz w:val="24"/>
          <w:szCs w:val="24"/>
        </w:rPr>
        <w:t xml:space="preserve"> 0,</w:t>
      </w:r>
      <w:r w:rsidR="00EA5DC3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="002D5BF3">
        <w:rPr>
          <w:rFonts w:ascii="Times New Roman" w:hAnsi="Times New Roman" w:cs="Times New Roman"/>
          <w:spacing w:val="-2"/>
          <w:sz w:val="24"/>
          <w:szCs w:val="24"/>
        </w:rPr>
        <w:t>%</w:t>
      </w:r>
      <w:r w:rsidR="00AE4F97" w:rsidRPr="00AE4F9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Já n</w:t>
      </w:r>
      <w:r w:rsidR="00AE4F97" w:rsidRPr="00AE4F97">
        <w:rPr>
          <w:rFonts w:ascii="Times New Roman" w:hAnsi="Times New Roman" w:cs="Times New Roman"/>
          <w:spacing w:val="-2"/>
          <w:sz w:val="24"/>
          <w:szCs w:val="24"/>
        </w:rPr>
        <w:t xml:space="preserve">o acumulado dos últimos 12 meses, o INPC atingiu </w:t>
      </w:r>
      <w:r w:rsidR="00EA5DC3">
        <w:rPr>
          <w:rFonts w:ascii="Times New Roman" w:hAnsi="Times New Roman" w:cs="Times New Roman"/>
          <w:spacing w:val="-2"/>
          <w:sz w:val="24"/>
          <w:szCs w:val="24"/>
        </w:rPr>
        <w:t>5,12</w:t>
      </w:r>
      <w:r w:rsidR="00AE4F97" w:rsidRPr="00AE4F97">
        <w:rPr>
          <w:rFonts w:ascii="Times New Roman" w:hAnsi="Times New Roman" w:cs="Times New Roman"/>
          <w:spacing w:val="-2"/>
          <w:sz w:val="24"/>
          <w:szCs w:val="24"/>
        </w:rPr>
        <w:t xml:space="preserve">% no DF,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="00EA5DC3">
        <w:rPr>
          <w:rFonts w:ascii="Times New Roman" w:hAnsi="Times New Roman" w:cs="Times New Roman"/>
          <w:spacing w:val="-2"/>
          <w:sz w:val="24"/>
          <w:szCs w:val="24"/>
        </w:rPr>
        <w:t>4,51</w:t>
      </w:r>
      <w:r w:rsidR="00AE4F97" w:rsidRPr="00AE4F97">
        <w:rPr>
          <w:rFonts w:ascii="Times New Roman" w:hAnsi="Times New Roman" w:cs="Times New Roman"/>
          <w:spacing w:val="-2"/>
          <w:sz w:val="24"/>
          <w:szCs w:val="24"/>
        </w:rPr>
        <w:t>%</w:t>
      </w:r>
      <w:r>
        <w:rPr>
          <w:rFonts w:ascii="Times New Roman" w:hAnsi="Times New Roman" w:cs="Times New Roman"/>
          <w:spacing w:val="-2"/>
          <w:sz w:val="24"/>
          <w:szCs w:val="24"/>
        </w:rPr>
        <w:t>, no Brasil</w:t>
      </w:r>
      <w:r w:rsidR="00AE4F97" w:rsidRPr="00AE4F9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E4F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36D9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611A5">
        <w:rPr>
          <w:rFonts w:ascii="Times New Roman" w:hAnsi="Times New Roman" w:cs="Times New Roman"/>
          <w:spacing w:val="-2"/>
          <w:sz w:val="24"/>
          <w:szCs w:val="24"/>
        </w:rPr>
        <w:t>s maiores variações e contribuições</w:t>
      </w:r>
      <w:r w:rsidR="00536D9C">
        <w:rPr>
          <w:rFonts w:ascii="Times New Roman" w:hAnsi="Times New Roman" w:cs="Times New Roman"/>
          <w:spacing w:val="-2"/>
          <w:sz w:val="24"/>
          <w:szCs w:val="24"/>
        </w:rPr>
        <w:t xml:space="preserve"> foram</w:t>
      </w:r>
      <w:r w:rsidR="00E611A5">
        <w:rPr>
          <w:rFonts w:ascii="Times New Roman" w:hAnsi="Times New Roman" w:cs="Times New Roman"/>
          <w:spacing w:val="-2"/>
          <w:sz w:val="24"/>
          <w:szCs w:val="24"/>
        </w:rPr>
        <w:t xml:space="preserve"> registradas nos grupos </w:t>
      </w:r>
      <w:r w:rsidR="00E611A5">
        <w:rPr>
          <w:rFonts w:ascii="Times New Roman" w:hAnsi="Times New Roman" w:cs="Times New Roman"/>
          <w:i/>
          <w:spacing w:val="-2"/>
          <w:sz w:val="24"/>
          <w:szCs w:val="24"/>
        </w:rPr>
        <w:t>Transportes</w:t>
      </w:r>
      <w:r w:rsidR="00E611A5">
        <w:rPr>
          <w:rFonts w:ascii="Times New Roman" w:hAnsi="Times New Roman" w:cs="Times New Roman"/>
          <w:spacing w:val="-2"/>
          <w:sz w:val="24"/>
          <w:szCs w:val="24"/>
        </w:rPr>
        <w:t xml:space="preserve"> (0,94% e 0,22 </w:t>
      </w:r>
      <w:proofErr w:type="spellStart"/>
      <w:r w:rsidR="00E611A5">
        <w:rPr>
          <w:rFonts w:ascii="Times New Roman" w:hAnsi="Times New Roman" w:cs="Times New Roman"/>
          <w:spacing w:val="-2"/>
          <w:sz w:val="24"/>
          <w:szCs w:val="24"/>
        </w:rPr>
        <w:t>p.p</w:t>
      </w:r>
      <w:proofErr w:type="spellEnd"/>
      <w:r w:rsidR="00E611A5">
        <w:rPr>
          <w:rFonts w:ascii="Times New Roman" w:hAnsi="Times New Roman" w:cs="Times New Roman"/>
          <w:spacing w:val="-2"/>
          <w:sz w:val="24"/>
          <w:szCs w:val="24"/>
        </w:rPr>
        <w:t xml:space="preserve">.) e </w:t>
      </w:r>
      <w:r w:rsidR="00E611A5">
        <w:rPr>
          <w:rFonts w:ascii="Times New Roman" w:hAnsi="Times New Roman" w:cs="Times New Roman"/>
          <w:i/>
          <w:spacing w:val="-2"/>
          <w:sz w:val="24"/>
          <w:szCs w:val="24"/>
        </w:rPr>
        <w:t xml:space="preserve">Habitação </w:t>
      </w:r>
      <w:r w:rsidR="00E611A5">
        <w:rPr>
          <w:rFonts w:ascii="Times New Roman" w:hAnsi="Times New Roman" w:cs="Times New Roman"/>
          <w:spacing w:val="-2"/>
          <w:sz w:val="24"/>
          <w:szCs w:val="24"/>
        </w:rPr>
        <w:t xml:space="preserve">(0,84% e 0,16 </w:t>
      </w:r>
      <w:proofErr w:type="spellStart"/>
      <w:r w:rsidR="00E611A5">
        <w:rPr>
          <w:rFonts w:ascii="Times New Roman" w:hAnsi="Times New Roman" w:cs="Times New Roman"/>
          <w:spacing w:val="-2"/>
          <w:sz w:val="24"/>
          <w:szCs w:val="24"/>
        </w:rPr>
        <w:t>p.p</w:t>
      </w:r>
      <w:proofErr w:type="spellEnd"/>
      <w:r w:rsidR="00E611A5">
        <w:rPr>
          <w:rFonts w:ascii="Times New Roman" w:hAnsi="Times New Roman" w:cs="Times New Roman"/>
          <w:spacing w:val="-2"/>
          <w:sz w:val="24"/>
          <w:szCs w:val="24"/>
        </w:rPr>
        <w:t xml:space="preserve">.), enquanto a menor ficou a cargo do grupo </w:t>
      </w:r>
      <w:r w:rsidR="00E611A5" w:rsidRPr="00E611A5">
        <w:rPr>
          <w:rFonts w:ascii="Times New Roman" w:hAnsi="Times New Roman" w:cs="Times New Roman"/>
          <w:i/>
          <w:spacing w:val="-2"/>
          <w:sz w:val="24"/>
          <w:szCs w:val="24"/>
        </w:rPr>
        <w:t>Alimentação e bebidas</w:t>
      </w:r>
      <w:r w:rsidR="00E611A5">
        <w:rPr>
          <w:rFonts w:ascii="Times New Roman" w:hAnsi="Times New Roman" w:cs="Times New Roman"/>
          <w:spacing w:val="-2"/>
          <w:sz w:val="24"/>
          <w:szCs w:val="24"/>
        </w:rPr>
        <w:t xml:space="preserve"> (-0,34% e -0,07 </w:t>
      </w:r>
      <w:proofErr w:type="spellStart"/>
      <w:r w:rsidR="00E611A5">
        <w:rPr>
          <w:rFonts w:ascii="Times New Roman" w:hAnsi="Times New Roman" w:cs="Times New Roman"/>
          <w:spacing w:val="-2"/>
          <w:sz w:val="24"/>
          <w:szCs w:val="24"/>
        </w:rPr>
        <w:t>p.p</w:t>
      </w:r>
      <w:proofErr w:type="spellEnd"/>
      <w:r w:rsidR="00E611A5">
        <w:rPr>
          <w:rFonts w:ascii="Times New Roman" w:hAnsi="Times New Roman" w:cs="Times New Roman"/>
          <w:spacing w:val="-2"/>
          <w:sz w:val="24"/>
          <w:szCs w:val="24"/>
        </w:rPr>
        <w:t>.)</w:t>
      </w:r>
      <w:r w:rsidR="00536D9C">
        <w:rPr>
          <w:rFonts w:ascii="Times New Roman" w:hAnsi="Times New Roman" w:cs="Times New Roman"/>
          <w:spacing w:val="-2"/>
          <w:sz w:val="24"/>
          <w:szCs w:val="24"/>
        </w:rPr>
        <w:t>, comportamento semelhante ao do IPCA.</w:t>
      </w:r>
    </w:p>
    <w:sectPr w:rsidR="00A73A1B" w:rsidRPr="00E611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38C2" w14:textId="77777777" w:rsidR="003E047E" w:rsidRDefault="003E047E" w:rsidP="00446E79">
      <w:pPr>
        <w:spacing w:after="0" w:line="240" w:lineRule="auto"/>
      </w:pPr>
      <w:r>
        <w:separator/>
      </w:r>
    </w:p>
  </w:endnote>
  <w:endnote w:type="continuationSeparator" w:id="0">
    <w:p w14:paraId="08042455" w14:textId="77777777" w:rsidR="003E047E" w:rsidRDefault="003E047E" w:rsidP="0044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4715" w14:textId="77777777" w:rsidR="003E047E" w:rsidRDefault="003E047E" w:rsidP="00446E79">
      <w:pPr>
        <w:spacing w:after="0" w:line="240" w:lineRule="auto"/>
      </w:pPr>
      <w:r>
        <w:separator/>
      </w:r>
    </w:p>
  </w:footnote>
  <w:footnote w:type="continuationSeparator" w:id="0">
    <w:p w14:paraId="363126E0" w14:textId="77777777" w:rsidR="003E047E" w:rsidRDefault="003E047E" w:rsidP="00446E79">
      <w:pPr>
        <w:spacing w:after="0" w:line="240" w:lineRule="auto"/>
      </w:pPr>
      <w:r>
        <w:continuationSeparator/>
      </w:r>
    </w:p>
  </w:footnote>
  <w:footnote w:id="1">
    <w:p w14:paraId="609DA9AD" w14:textId="18D5DE60" w:rsidR="00F40A17" w:rsidRDefault="00F40A17">
      <w:pPr>
        <w:pStyle w:val="Textodenotaderodap"/>
      </w:pPr>
      <w:r>
        <w:rPr>
          <w:rStyle w:val="Refdenotaderodap"/>
        </w:rPr>
        <w:footnoteRef/>
      </w:r>
      <w:r>
        <w:t xml:space="preserve"> O cálculo do IPCA por faixa de renda é feito por este Instituto.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EA66" w14:textId="60890C24" w:rsidR="00446E79" w:rsidRPr="00446E79" w:rsidRDefault="00D0583F">
    <w:pPr>
      <w:pStyle w:val="Cabealho"/>
      <w:rPr>
        <w:rFonts w:ascii="Times New Roman" w:hAnsi="Times New Roman" w:cs="Times New Roman"/>
      </w:rPr>
    </w:pPr>
    <w:r w:rsidRPr="00E6539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F51F82" wp14:editId="19EE5203">
          <wp:simplePos x="0" y="0"/>
          <wp:positionH relativeFrom="margin">
            <wp:posOffset>4057650</wp:posOffset>
          </wp:positionH>
          <wp:positionV relativeFrom="paragraph">
            <wp:posOffset>-635</wp:posOffset>
          </wp:positionV>
          <wp:extent cx="1312703" cy="290111"/>
          <wp:effectExtent l="0" t="0" r="1905" b="0"/>
          <wp:wrapNone/>
          <wp:docPr id="1" name="Imagem 1" descr="C:\Users\36854\Desktop\Logos IPEDF\Ativ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6854\Desktop\Logos IPEDF\Ativo 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703" cy="2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E79" w:rsidRPr="00446E79">
      <w:rPr>
        <w:rFonts w:ascii="Times New Roman" w:hAnsi="Times New Roman" w:cs="Times New Roman"/>
      </w:rPr>
      <w:t>Painel de Análises Econômicas</w:t>
    </w:r>
    <w:r w:rsidR="00446E79" w:rsidRPr="00446E79">
      <w:rPr>
        <w:rFonts w:ascii="Times New Roman" w:hAnsi="Times New Roman" w:cs="Times New Roman"/>
      </w:rPr>
      <w:br/>
      <w:t>Inflação no Distrito Federal –</w:t>
    </w:r>
    <w:r w:rsidR="00F35CED">
      <w:rPr>
        <w:rFonts w:ascii="Times New Roman" w:hAnsi="Times New Roman" w:cs="Times New Roman"/>
      </w:rPr>
      <w:t xml:space="preserve"> </w:t>
    </w:r>
    <w:proofErr w:type="gramStart"/>
    <w:r w:rsidR="00F35CED">
      <w:rPr>
        <w:rFonts w:ascii="Times New Roman" w:hAnsi="Times New Roman" w:cs="Times New Roman"/>
      </w:rPr>
      <w:t>Setembro</w:t>
    </w:r>
    <w:proofErr w:type="gramEnd"/>
    <w:r w:rsidR="00446E79" w:rsidRPr="00446E79">
      <w:rPr>
        <w:rFonts w:ascii="Times New Roman" w:hAnsi="Times New Roman" w:cs="Times New Roman"/>
      </w:rPr>
      <w:t xml:space="preserve"> de 202</w:t>
    </w:r>
    <w:r w:rsidR="00D95300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32"/>
    <w:rsid w:val="00013310"/>
    <w:rsid w:val="00025F29"/>
    <w:rsid w:val="00030385"/>
    <w:rsid w:val="00043A13"/>
    <w:rsid w:val="0007512B"/>
    <w:rsid w:val="00083BE4"/>
    <w:rsid w:val="00096843"/>
    <w:rsid w:val="000A1CA2"/>
    <w:rsid w:val="000B30B6"/>
    <w:rsid w:val="000B5427"/>
    <w:rsid w:val="000B6596"/>
    <w:rsid w:val="000C1315"/>
    <w:rsid w:val="000C3CC2"/>
    <w:rsid w:val="000C617E"/>
    <w:rsid w:val="000F3059"/>
    <w:rsid w:val="000F3279"/>
    <w:rsid w:val="000F40EE"/>
    <w:rsid w:val="000F4690"/>
    <w:rsid w:val="000F6354"/>
    <w:rsid w:val="001059EC"/>
    <w:rsid w:val="0011035B"/>
    <w:rsid w:val="001122C4"/>
    <w:rsid w:val="00121274"/>
    <w:rsid w:val="0012143A"/>
    <w:rsid w:val="001231FB"/>
    <w:rsid w:val="00130771"/>
    <w:rsid w:val="0013509F"/>
    <w:rsid w:val="00136E7D"/>
    <w:rsid w:val="00143FDA"/>
    <w:rsid w:val="00151968"/>
    <w:rsid w:val="00160FE4"/>
    <w:rsid w:val="0016198E"/>
    <w:rsid w:val="00184B3F"/>
    <w:rsid w:val="0019331D"/>
    <w:rsid w:val="001A49D5"/>
    <w:rsid w:val="001B0903"/>
    <w:rsid w:val="001B71B1"/>
    <w:rsid w:val="001D0614"/>
    <w:rsid w:val="001D0DDC"/>
    <w:rsid w:val="001E5D5A"/>
    <w:rsid w:val="001F0EB4"/>
    <w:rsid w:val="001F11E5"/>
    <w:rsid w:val="001F478B"/>
    <w:rsid w:val="002006E2"/>
    <w:rsid w:val="002042FD"/>
    <w:rsid w:val="0020730A"/>
    <w:rsid w:val="00210D10"/>
    <w:rsid w:val="00216405"/>
    <w:rsid w:val="00216580"/>
    <w:rsid w:val="0022426A"/>
    <w:rsid w:val="002244A9"/>
    <w:rsid w:val="00246912"/>
    <w:rsid w:val="00250800"/>
    <w:rsid w:val="00251F5D"/>
    <w:rsid w:val="00264E98"/>
    <w:rsid w:val="00267DD5"/>
    <w:rsid w:val="00272608"/>
    <w:rsid w:val="00280D9F"/>
    <w:rsid w:val="002829AC"/>
    <w:rsid w:val="00286D8C"/>
    <w:rsid w:val="002932DB"/>
    <w:rsid w:val="00296F70"/>
    <w:rsid w:val="002A7C0F"/>
    <w:rsid w:val="002B10D2"/>
    <w:rsid w:val="002B1788"/>
    <w:rsid w:val="002B5B34"/>
    <w:rsid w:val="002B64CA"/>
    <w:rsid w:val="002C4578"/>
    <w:rsid w:val="002C45E2"/>
    <w:rsid w:val="002D5BF3"/>
    <w:rsid w:val="002D651F"/>
    <w:rsid w:val="002D69E1"/>
    <w:rsid w:val="002D70EA"/>
    <w:rsid w:val="002E0D46"/>
    <w:rsid w:val="002E4A2A"/>
    <w:rsid w:val="00301E58"/>
    <w:rsid w:val="00341ED3"/>
    <w:rsid w:val="003437BD"/>
    <w:rsid w:val="00361EBB"/>
    <w:rsid w:val="00377343"/>
    <w:rsid w:val="00381C89"/>
    <w:rsid w:val="00381CF2"/>
    <w:rsid w:val="003A0125"/>
    <w:rsid w:val="003A220C"/>
    <w:rsid w:val="003A4ADF"/>
    <w:rsid w:val="003A53B2"/>
    <w:rsid w:val="003A5D81"/>
    <w:rsid w:val="003C00F6"/>
    <w:rsid w:val="003C5157"/>
    <w:rsid w:val="003D27E4"/>
    <w:rsid w:val="003E047E"/>
    <w:rsid w:val="003E1BF6"/>
    <w:rsid w:val="003E2FA4"/>
    <w:rsid w:val="003F7FB6"/>
    <w:rsid w:val="00401667"/>
    <w:rsid w:val="00404AED"/>
    <w:rsid w:val="00412123"/>
    <w:rsid w:val="00436890"/>
    <w:rsid w:val="004466B0"/>
    <w:rsid w:val="00446E79"/>
    <w:rsid w:val="00453F8F"/>
    <w:rsid w:val="004547F0"/>
    <w:rsid w:val="00461859"/>
    <w:rsid w:val="00462F91"/>
    <w:rsid w:val="00471754"/>
    <w:rsid w:val="00476571"/>
    <w:rsid w:val="00484F50"/>
    <w:rsid w:val="0049121E"/>
    <w:rsid w:val="004A2C9A"/>
    <w:rsid w:val="004A305B"/>
    <w:rsid w:val="004A33FD"/>
    <w:rsid w:val="004A7EA9"/>
    <w:rsid w:val="004C211B"/>
    <w:rsid w:val="004C36CC"/>
    <w:rsid w:val="004E133A"/>
    <w:rsid w:val="004E489B"/>
    <w:rsid w:val="004E7503"/>
    <w:rsid w:val="00507234"/>
    <w:rsid w:val="00511025"/>
    <w:rsid w:val="00511D7D"/>
    <w:rsid w:val="00514377"/>
    <w:rsid w:val="00515EF2"/>
    <w:rsid w:val="005222D7"/>
    <w:rsid w:val="00536D9C"/>
    <w:rsid w:val="00547613"/>
    <w:rsid w:val="00557CEA"/>
    <w:rsid w:val="00561326"/>
    <w:rsid w:val="0056463B"/>
    <w:rsid w:val="00582043"/>
    <w:rsid w:val="00585A91"/>
    <w:rsid w:val="00585C7C"/>
    <w:rsid w:val="005968A0"/>
    <w:rsid w:val="005A4967"/>
    <w:rsid w:val="005A6004"/>
    <w:rsid w:val="005A7C51"/>
    <w:rsid w:val="005B0314"/>
    <w:rsid w:val="005B1EDC"/>
    <w:rsid w:val="005B23CE"/>
    <w:rsid w:val="005B38A3"/>
    <w:rsid w:val="005C5DBD"/>
    <w:rsid w:val="005C6AD1"/>
    <w:rsid w:val="005D441F"/>
    <w:rsid w:val="005E3839"/>
    <w:rsid w:val="005F6796"/>
    <w:rsid w:val="006272CD"/>
    <w:rsid w:val="0063002A"/>
    <w:rsid w:val="00632EFD"/>
    <w:rsid w:val="006336C8"/>
    <w:rsid w:val="006344AB"/>
    <w:rsid w:val="00647769"/>
    <w:rsid w:val="006501AE"/>
    <w:rsid w:val="006522F4"/>
    <w:rsid w:val="006604D6"/>
    <w:rsid w:val="00665901"/>
    <w:rsid w:val="00672607"/>
    <w:rsid w:val="00672A43"/>
    <w:rsid w:val="0067674A"/>
    <w:rsid w:val="00677285"/>
    <w:rsid w:val="0068070D"/>
    <w:rsid w:val="00680ABE"/>
    <w:rsid w:val="006A275D"/>
    <w:rsid w:val="006E1D22"/>
    <w:rsid w:val="006E7025"/>
    <w:rsid w:val="006F60F3"/>
    <w:rsid w:val="00700708"/>
    <w:rsid w:val="00703D03"/>
    <w:rsid w:val="007078E3"/>
    <w:rsid w:val="00711545"/>
    <w:rsid w:val="00736787"/>
    <w:rsid w:val="00747636"/>
    <w:rsid w:val="00763A0D"/>
    <w:rsid w:val="00764840"/>
    <w:rsid w:val="007679BA"/>
    <w:rsid w:val="00767C15"/>
    <w:rsid w:val="007705E3"/>
    <w:rsid w:val="0077561A"/>
    <w:rsid w:val="007760DB"/>
    <w:rsid w:val="0079356E"/>
    <w:rsid w:val="00796985"/>
    <w:rsid w:val="007A19A4"/>
    <w:rsid w:val="007A4C62"/>
    <w:rsid w:val="007A74C1"/>
    <w:rsid w:val="007B311B"/>
    <w:rsid w:val="007C31E3"/>
    <w:rsid w:val="007C3AEB"/>
    <w:rsid w:val="007C7CE4"/>
    <w:rsid w:val="007D425B"/>
    <w:rsid w:val="007D4406"/>
    <w:rsid w:val="007D4A5B"/>
    <w:rsid w:val="007D525E"/>
    <w:rsid w:val="007E6A19"/>
    <w:rsid w:val="007F0342"/>
    <w:rsid w:val="007F4528"/>
    <w:rsid w:val="007F5C65"/>
    <w:rsid w:val="007F78FF"/>
    <w:rsid w:val="00801205"/>
    <w:rsid w:val="00810F32"/>
    <w:rsid w:val="00815E65"/>
    <w:rsid w:val="0082082F"/>
    <w:rsid w:val="00821CBF"/>
    <w:rsid w:val="00833163"/>
    <w:rsid w:val="00845E11"/>
    <w:rsid w:val="008609E0"/>
    <w:rsid w:val="00860F2A"/>
    <w:rsid w:val="0086226E"/>
    <w:rsid w:val="00867642"/>
    <w:rsid w:val="0087201A"/>
    <w:rsid w:val="00872ABD"/>
    <w:rsid w:val="008A1CEC"/>
    <w:rsid w:val="008B66E8"/>
    <w:rsid w:val="008D5D8F"/>
    <w:rsid w:val="008D5FA5"/>
    <w:rsid w:val="008F3DBE"/>
    <w:rsid w:val="008F3F89"/>
    <w:rsid w:val="0090138A"/>
    <w:rsid w:val="009211E9"/>
    <w:rsid w:val="009250D9"/>
    <w:rsid w:val="009306C5"/>
    <w:rsid w:val="00930F48"/>
    <w:rsid w:val="00940CE4"/>
    <w:rsid w:val="0094742A"/>
    <w:rsid w:val="0096094F"/>
    <w:rsid w:val="00963970"/>
    <w:rsid w:val="00971AE3"/>
    <w:rsid w:val="00977413"/>
    <w:rsid w:val="009774C9"/>
    <w:rsid w:val="009837D4"/>
    <w:rsid w:val="00986B95"/>
    <w:rsid w:val="00991E5F"/>
    <w:rsid w:val="009A14DC"/>
    <w:rsid w:val="009A1A28"/>
    <w:rsid w:val="009A24FA"/>
    <w:rsid w:val="009A29C9"/>
    <w:rsid w:val="009B1765"/>
    <w:rsid w:val="009D0A5E"/>
    <w:rsid w:val="009D137C"/>
    <w:rsid w:val="009E1D3D"/>
    <w:rsid w:val="009E5C0F"/>
    <w:rsid w:val="009E6BD3"/>
    <w:rsid w:val="009F615B"/>
    <w:rsid w:val="009F76A0"/>
    <w:rsid w:val="00A03462"/>
    <w:rsid w:val="00A16EF2"/>
    <w:rsid w:val="00A178AF"/>
    <w:rsid w:val="00A265BA"/>
    <w:rsid w:val="00A33C32"/>
    <w:rsid w:val="00A366B8"/>
    <w:rsid w:val="00A37916"/>
    <w:rsid w:val="00A44122"/>
    <w:rsid w:val="00A45E84"/>
    <w:rsid w:val="00A46AF7"/>
    <w:rsid w:val="00A55343"/>
    <w:rsid w:val="00A71EF1"/>
    <w:rsid w:val="00A73A1B"/>
    <w:rsid w:val="00A7663A"/>
    <w:rsid w:val="00A80CB8"/>
    <w:rsid w:val="00A82D3C"/>
    <w:rsid w:val="00A83505"/>
    <w:rsid w:val="00A9110B"/>
    <w:rsid w:val="00AA3D21"/>
    <w:rsid w:val="00AB3761"/>
    <w:rsid w:val="00AB6559"/>
    <w:rsid w:val="00AC1DAC"/>
    <w:rsid w:val="00AC568F"/>
    <w:rsid w:val="00AD0DB3"/>
    <w:rsid w:val="00AD3252"/>
    <w:rsid w:val="00AE3EE6"/>
    <w:rsid w:val="00AE4F97"/>
    <w:rsid w:val="00AE5845"/>
    <w:rsid w:val="00AF3ECA"/>
    <w:rsid w:val="00B12F63"/>
    <w:rsid w:val="00B15618"/>
    <w:rsid w:val="00B21696"/>
    <w:rsid w:val="00B40B3E"/>
    <w:rsid w:val="00B470DD"/>
    <w:rsid w:val="00B51FF4"/>
    <w:rsid w:val="00B61D82"/>
    <w:rsid w:val="00B6634E"/>
    <w:rsid w:val="00B70DD3"/>
    <w:rsid w:val="00B729F6"/>
    <w:rsid w:val="00B77411"/>
    <w:rsid w:val="00B843B9"/>
    <w:rsid w:val="00BA3121"/>
    <w:rsid w:val="00BB246E"/>
    <w:rsid w:val="00BB5C89"/>
    <w:rsid w:val="00BC0EA6"/>
    <w:rsid w:val="00BC6ED0"/>
    <w:rsid w:val="00BD26DA"/>
    <w:rsid w:val="00BF1C70"/>
    <w:rsid w:val="00BF4302"/>
    <w:rsid w:val="00BF4AA8"/>
    <w:rsid w:val="00C01EFD"/>
    <w:rsid w:val="00C1361A"/>
    <w:rsid w:val="00C24867"/>
    <w:rsid w:val="00C25C33"/>
    <w:rsid w:val="00C3416E"/>
    <w:rsid w:val="00C345B8"/>
    <w:rsid w:val="00C34AE4"/>
    <w:rsid w:val="00C44F1B"/>
    <w:rsid w:val="00C475B1"/>
    <w:rsid w:val="00C50E7D"/>
    <w:rsid w:val="00C52059"/>
    <w:rsid w:val="00C56F12"/>
    <w:rsid w:val="00C64541"/>
    <w:rsid w:val="00C667D1"/>
    <w:rsid w:val="00C80D75"/>
    <w:rsid w:val="00C8777A"/>
    <w:rsid w:val="00C9325A"/>
    <w:rsid w:val="00C96655"/>
    <w:rsid w:val="00C97BF1"/>
    <w:rsid w:val="00CA042F"/>
    <w:rsid w:val="00CA0F43"/>
    <w:rsid w:val="00CB475C"/>
    <w:rsid w:val="00CC0CBA"/>
    <w:rsid w:val="00CC3525"/>
    <w:rsid w:val="00CD0FCE"/>
    <w:rsid w:val="00CD1F1D"/>
    <w:rsid w:val="00CD3346"/>
    <w:rsid w:val="00CD4D15"/>
    <w:rsid w:val="00CD61A0"/>
    <w:rsid w:val="00CD7C13"/>
    <w:rsid w:val="00CE3F38"/>
    <w:rsid w:val="00CE5C2D"/>
    <w:rsid w:val="00CF4F4A"/>
    <w:rsid w:val="00D0583F"/>
    <w:rsid w:val="00D25092"/>
    <w:rsid w:val="00D26A1C"/>
    <w:rsid w:val="00D45DF1"/>
    <w:rsid w:val="00D47731"/>
    <w:rsid w:val="00D47EF3"/>
    <w:rsid w:val="00D534E8"/>
    <w:rsid w:val="00D611F5"/>
    <w:rsid w:val="00D72FB3"/>
    <w:rsid w:val="00D73B7A"/>
    <w:rsid w:val="00D9333E"/>
    <w:rsid w:val="00D93D75"/>
    <w:rsid w:val="00D95300"/>
    <w:rsid w:val="00DA671C"/>
    <w:rsid w:val="00DA6F12"/>
    <w:rsid w:val="00DB275B"/>
    <w:rsid w:val="00DC5776"/>
    <w:rsid w:val="00DD21F8"/>
    <w:rsid w:val="00DD3AFB"/>
    <w:rsid w:val="00DD4CB6"/>
    <w:rsid w:val="00DE76F3"/>
    <w:rsid w:val="00DE7F41"/>
    <w:rsid w:val="00DF741C"/>
    <w:rsid w:val="00E03C6A"/>
    <w:rsid w:val="00E10AA7"/>
    <w:rsid w:val="00E11649"/>
    <w:rsid w:val="00E11D58"/>
    <w:rsid w:val="00E14039"/>
    <w:rsid w:val="00E2649B"/>
    <w:rsid w:val="00E31A31"/>
    <w:rsid w:val="00E3272E"/>
    <w:rsid w:val="00E51CBE"/>
    <w:rsid w:val="00E52AB8"/>
    <w:rsid w:val="00E611A5"/>
    <w:rsid w:val="00E64DDD"/>
    <w:rsid w:val="00E64F5C"/>
    <w:rsid w:val="00E77853"/>
    <w:rsid w:val="00E83334"/>
    <w:rsid w:val="00E833C6"/>
    <w:rsid w:val="00E83D9F"/>
    <w:rsid w:val="00E96315"/>
    <w:rsid w:val="00EA4038"/>
    <w:rsid w:val="00EA5DC3"/>
    <w:rsid w:val="00EA72FC"/>
    <w:rsid w:val="00EB2506"/>
    <w:rsid w:val="00EC1333"/>
    <w:rsid w:val="00EC42E1"/>
    <w:rsid w:val="00ED02D5"/>
    <w:rsid w:val="00EE0B11"/>
    <w:rsid w:val="00EF03D5"/>
    <w:rsid w:val="00F0179C"/>
    <w:rsid w:val="00F044A1"/>
    <w:rsid w:val="00F05535"/>
    <w:rsid w:val="00F05933"/>
    <w:rsid w:val="00F0630B"/>
    <w:rsid w:val="00F11FC8"/>
    <w:rsid w:val="00F14B7E"/>
    <w:rsid w:val="00F152E5"/>
    <w:rsid w:val="00F24F24"/>
    <w:rsid w:val="00F26915"/>
    <w:rsid w:val="00F34251"/>
    <w:rsid w:val="00F3593D"/>
    <w:rsid w:val="00F35CED"/>
    <w:rsid w:val="00F40A17"/>
    <w:rsid w:val="00F429E5"/>
    <w:rsid w:val="00F65A20"/>
    <w:rsid w:val="00F82887"/>
    <w:rsid w:val="00F91A88"/>
    <w:rsid w:val="00F93608"/>
    <w:rsid w:val="00FB2FD5"/>
    <w:rsid w:val="00FB4A32"/>
    <w:rsid w:val="00FB5504"/>
    <w:rsid w:val="00FE15B1"/>
    <w:rsid w:val="00FE6AA1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F42F"/>
  <w15:docId w15:val="{7BF33263-4A84-47DD-8F35-10058FB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A7C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C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C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C0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C0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4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E79"/>
  </w:style>
  <w:style w:type="paragraph" w:styleId="Rodap">
    <w:name w:val="footer"/>
    <w:basedOn w:val="Normal"/>
    <w:link w:val="RodapChar"/>
    <w:uiPriority w:val="99"/>
    <w:unhideWhenUsed/>
    <w:rsid w:val="0044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E79"/>
  </w:style>
  <w:style w:type="paragraph" w:styleId="Reviso">
    <w:name w:val="Revision"/>
    <w:hidden/>
    <w:uiPriority w:val="99"/>
    <w:semiHidden/>
    <w:rsid w:val="00E14039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0A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0A1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0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DA75-AF6D-4894-87E9-E195633A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Costa Coitinho</dc:creator>
  <cp:lastModifiedBy>Adrielli Santos de Santana</cp:lastModifiedBy>
  <cp:revision>3</cp:revision>
  <cp:lastPrinted>2023-07-11T13:03:00Z</cp:lastPrinted>
  <dcterms:created xsi:type="dcterms:W3CDTF">2023-10-11T15:47:00Z</dcterms:created>
  <dcterms:modified xsi:type="dcterms:W3CDTF">2023-10-11T16:28:00Z</dcterms:modified>
</cp:coreProperties>
</file>